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A91841">
        <w:tc>
          <w:tcPr>
            <w:tcW w:w="14238" w:type="dxa"/>
            <w:gridSpan w:val="4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توضيح وشرح ت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شكيل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النهار والليل مستخدمين نماذج وتكوين الظلال، وتفسير الصلة بين شكل الظل والوقت من النهار تحت أشعة الشمس</w:t>
            </w:r>
          </w:p>
        </w:tc>
        <w:tc>
          <w:tcPr>
            <w:tcW w:w="1372" w:type="dxa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2-2</w:t>
            </w: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النهار والليل والنهار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بإضافات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النهار والليل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بإضافات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استخدام نموذج أو عمل رسم لإظهار تشكيل النهار والليل 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استخدام نموذج أو عمل رسم لإظهار تشكيل النهار والليل 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الظل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الظل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استخدام نموذج أو عمل رسم لإظهار تشكيل الظل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استخدام نموذج أو عمل رسم لإظهار تشكيل الظل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شرح تشكيل الظل تحت أشعة الشمس من حيث موقع الشمس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شرح تشكيل الظل تحت أشعة الشمس من حيث موقع الشمس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شرح تشكيل الظل تحت أشعة الشمس من حيث موقع الشمس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شرح تشكيل الظل تحت أشعة الشمس من حيث موقع الشمس 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sz w:val="16"/>
          <w:szCs w:val="16"/>
          <w:rtl/>
        </w:rPr>
      </w:pPr>
    </w:p>
    <w:p w:rsidR="00C013A5" w:rsidRPr="00A20C2A" w:rsidRDefault="00C013A5" w:rsidP="003F3895">
      <w:pPr>
        <w:bidi/>
        <w:jc w:val="both"/>
        <w:rPr>
          <w:b/>
          <w:bCs/>
          <w:sz w:val="16"/>
          <w:szCs w:val="1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F56E4B">
        <w:tc>
          <w:tcPr>
            <w:tcW w:w="14238" w:type="dxa"/>
            <w:gridSpan w:val="4"/>
            <w:shd w:val="clear" w:color="auto" w:fill="FFFF99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المتعلمون قادرون على عرض طرق من خلال التمثيل أو الرسم لضمان بيئة نظيفة، مثل جمع/ التخلص من النفايات بشكل دقيق ومن خلال تدوير المواد </w:t>
            </w:r>
            <w:proofErr w:type="spellStart"/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والاحتياطات</w:t>
            </w:r>
            <w:proofErr w:type="spellEnd"/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من ظواهر أشعة الشمس والظلال.</w:t>
            </w:r>
          </w:p>
        </w:tc>
        <w:tc>
          <w:tcPr>
            <w:tcW w:w="1372" w:type="dxa"/>
            <w:shd w:val="clear" w:color="auto" w:fill="FFFF99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2-4</w:t>
            </w: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وسيلة لضمان بيئة نظيفة من خلال التخلص من الماء وتدوير المواد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المتعلقة بأثر الضوء والظل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عرض وسيلة لضمان بيئة نظيفة من خلال التخلص من الماء وتدوير المواد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وسيلة لضمان بيئة نظيفة من خلال التخلص من الماء أو تدوير المواد 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عرض وسيلة لضمان بيئة نظيفة من خلال التخلص من الماء أو تدوير المواد أو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المتعلقة بأثر الضوء والظل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رسم وسيلة لضمان بيئة نظيفة من خلال التخلص من الماء وتدوير المواد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المتعلقة بأثر الضوء والظل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رسم وسيلة لضمان بيئة نظيفة من خلال التخلص من الماء وتدوير المواد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رسم وسيلة لضمان بيئة نظيفة من خلال التخلص من الماء أو تدوير المواد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رسم وسيلة لضمان بيئة نظيفة من خلال التخلص من الماء أو تدوير المواد أو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المتعلقة بأثر الضوء والظل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sz w:val="16"/>
          <w:szCs w:val="16"/>
          <w:rtl/>
        </w:rPr>
      </w:pPr>
    </w:p>
    <w:p w:rsidR="00C013A5" w:rsidRDefault="00C013A5" w:rsidP="003F3895">
      <w:pPr>
        <w:bidi/>
        <w:jc w:val="both"/>
        <w:rPr>
          <w:b/>
          <w:bCs/>
          <w:sz w:val="16"/>
          <w:szCs w:val="16"/>
          <w:rtl/>
        </w:rPr>
      </w:pPr>
    </w:p>
    <w:p w:rsidR="00C013A5" w:rsidRPr="00A20C2A" w:rsidRDefault="00C013A5" w:rsidP="003F3895">
      <w:pPr>
        <w:bidi/>
        <w:jc w:val="both"/>
        <w:rPr>
          <w:b/>
          <w:bCs/>
          <w:sz w:val="16"/>
          <w:szCs w:val="1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510"/>
        <w:gridCol w:w="3690"/>
        <w:gridCol w:w="3600"/>
        <w:gridCol w:w="1372"/>
      </w:tblGrid>
      <w:tr w:rsidR="00C013A5" w:rsidRPr="006E5DA0" w:rsidTr="00F56E4B">
        <w:tc>
          <w:tcPr>
            <w:tcW w:w="14238" w:type="dxa"/>
            <w:gridSpan w:val="4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lastRenderedPageBreak/>
              <w:t>المتعلمون قادرون على التعبير بطرق مختلفة عن توضيح وتشكيل القيم المصاحبة لتدوير المواد وظواهر النهار والليل والظلال مستخدمين المعارف والمهارات المكتسبة من خلال مواد اللغة العربية والرياضيات والفن</w:t>
            </w:r>
          </w:p>
        </w:tc>
        <w:tc>
          <w:tcPr>
            <w:tcW w:w="1372" w:type="dxa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2-5</w:t>
            </w:r>
          </w:p>
        </w:tc>
      </w:tr>
      <w:tr w:rsidR="00C013A5" w:rsidRPr="006E5DA0" w:rsidTr="00A20C2A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51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69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A20C2A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توضيح قيمة التدوير وظواهر النهار والليل والظلال مستخدمًا اللغة العربية والرياضيات والفن</w:t>
            </w:r>
          </w:p>
        </w:tc>
        <w:tc>
          <w:tcPr>
            <w:tcW w:w="351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توضيح قيمة التدوير وظواهر النهار والليل والظلال مستخدمًا واحدة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اثنان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مما يلي: اللغة العربية والرياضيات والفن</w:t>
            </w:r>
          </w:p>
        </w:tc>
        <w:tc>
          <w:tcPr>
            <w:tcW w:w="369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قيمة التدوير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أ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ظواهر النهار والليل والظلال مستخدمًا واحدة مما يلي: اللغة العربية والرياضيات والفن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توضيح قيمة التدوير وظواهر النهار والليل والظلال باستخدام اللغة العربية والرياضيات والفن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rtl/>
        </w:rPr>
      </w:pPr>
    </w:p>
    <w:p w:rsidR="00C013A5" w:rsidRDefault="00C013A5" w:rsidP="007C2744">
      <w:pPr>
        <w:bidi/>
        <w:jc w:val="both"/>
        <w:rPr>
          <w:b/>
          <w:bCs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EF6615">
        <w:tc>
          <w:tcPr>
            <w:tcW w:w="14238" w:type="dxa"/>
            <w:gridSpan w:val="4"/>
            <w:shd w:val="clear" w:color="auto" w:fill="FFFF99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التعرف على المنتجات التكنولوجية ال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تي نشتريها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من المتاجر، و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يحدد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طريقة تصنيف الم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ات داخل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المحل 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(نوع المنتج، حجم المنتج، التكلفة، بلد </w:t>
            </w:r>
            <w:r w:rsidRPr="009751AE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المنشأ </w:t>
            </w:r>
            <w:r w:rsidRPr="009751AE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وغيره</w:t>
            </w:r>
          </w:p>
        </w:tc>
        <w:tc>
          <w:tcPr>
            <w:tcW w:w="1372" w:type="dxa"/>
            <w:shd w:val="clear" w:color="auto" w:fill="FFFF99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3-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الم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ات بطرق مختلفة والتي تشتمل على نوع المنتج، حجم المنتج، التكلفة، بلد المنشأ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الم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ات بطرق مختلفة والتي تشتمل على ثلاثة على الأقل مما يلي: نوع المنتج، حجم المنتج، التكلفة، بلد المنشأ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الم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ات بطرق مختلفة والتي تشتمل على اثنين على الأقل مما يلي: نوع المنتج، حجم المنتج، التكلفة، بلد المنشأ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تصنيف الم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نتج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ات بطرق مختلفة والتي تشتمل على نوع المنتج، حجم المنتج، التكلفة، بلد المنشأ</w:t>
            </w:r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rtl/>
        </w:rPr>
      </w:pPr>
    </w:p>
    <w:p w:rsidR="00C013A5" w:rsidRDefault="00C013A5" w:rsidP="00A20C2A">
      <w:pPr>
        <w:bidi/>
        <w:jc w:val="both"/>
        <w:rPr>
          <w:b/>
          <w:bCs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A91841">
        <w:tc>
          <w:tcPr>
            <w:tcW w:w="14238" w:type="dxa"/>
            <w:gridSpan w:val="4"/>
            <w:shd w:val="clear" w:color="auto" w:fill="99CCFF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المتعلمون قادرون على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إدراك </w:t>
            </w:r>
            <w:proofErr w:type="spellStart"/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الم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رتبط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ة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باستخدام المغناطيس والبطارية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وت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كنولوجيا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وسائل النقل</w:t>
            </w:r>
          </w:p>
        </w:tc>
        <w:tc>
          <w:tcPr>
            <w:tcW w:w="1372" w:type="dxa"/>
            <w:shd w:val="clear" w:color="auto" w:fill="99CCFF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3-3</w:t>
            </w: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شرح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والسفر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والدراجات الآلية والهوائية</w:t>
            </w:r>
            <w:bookmarkStart w:id="0" w:name="_GoBack"/>
            <w:bookmarkEnd w:id="0"/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إدراك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والسفر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إدراك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اثنين على الأقل مما يلي: المغناطيس، البطاريات، 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إدراك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والسفر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A91841">
        <w:tc>
          <w:tcPr>
            <w:tcW w:w="14238" w:type="dxa"/>
            <w:gridSpan w:val="4"/>
            <w:shd w:val="clear" w:color="auto" w:fill="FFFF99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التعبير بطرق اتصال مختلفة عن تشكيل القيم المصاحبة للمغناطيس والبطاريات وتكنولوجيا النقل من حولنا باستخدام المعارف والمهارات المكتسبة من مواد اللغة والرياضيات والفنون</w:t>
            </w:r>
          </w:p>
        </w:tc>
        <w:tc>
          <w:tcPr>
            <w:tcW w:w="1372" w:type="dxa"/>
            <w:shd w:val="clear" w:color="auto" w:fill="FFFF99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3-4</w:t>
            </w: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والسفر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والدراجات الآلية والهوائية مستخدمًا اللغتين العربية والإنجليزية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أو البطاريات أو 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والدراجات الآلية والهوائية مستخدمًا اللغتين العربية والإنجليزية 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أو البطاريات مستخدمًا اللغتين العربية والإنجليزية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والسفر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والدراجات الآلية والهوائية مستخدمًا اللغتين العربية والإنجليزية </w:t>
            </w:r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والسفر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والدراجات الآلية والهوائية مستخدمًا الرياضيات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أو البطاريات أو 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والدراجات الآلية والهوائية مستخدمًا الرياضيات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أو البطاريات مستخدمًا الرياضيات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والسفر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والدراجات الآلية والهوائية مستخدمًا الرياضيات</w:t>
            </w:r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EF6615">
        <w:tc>
          <w:tcPr>
            <w:tcW w:w="3438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والسفر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والدراجات الآلية والهوائية مستخدمًا الرسوم والتصوير</w:t>
            </w:r>
          </w:p>
        </w:tc>
        <w:tc>
          <w:tcPr>
            <w:tcW w:w="342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أو البطاريات أو 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مستخدمًا الرسوم والتصوير</w:t>
            </w:r>
          </w:p>
        </w:tc>
        <w:tc>
          <w:tcPr>
            <w:tcW w:w="378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أو السفر بالسيارات مستخدمًا الرسوم والتصوير</w:t>
            </w:r>
          </w:p>
        </w:tc>
        <w:tc>
          <w:tcPr>
            <w:tcW w:w="3600" w:type="dxa"/>
          </w:tcPr>
          <w:p w:rsidR="00C013A5" w:rsidRPr="006E5DA0" w:rsidRDefault="00C013A5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عرض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الاحتياطات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المصاحبة لاستخدام المغناطيس والبطاريات والسفر بالسيارات </w:t>
            </w:r>
            <w:proofErr w:type="spellStart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والباصات</w:t>
            </w:r>
            <w:proofErr w:type="spellEnd"/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والدراجات الآلية والهوائية مستخدمًا الرسوم والتصوير </w:t>
            </w:r>
          </w:p>
        </w:tc>
        <w:tc>
          <w:tcPr>
            <w:tcW w:w="1372" w:type="dxa"/>
            <w:vMerge/>
          </w:tcPr>
          <w:p w:rsidR="00C013A5" w:rsidRPr="006E5DA0" w:rsidRDefault="00C013A5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A20C2A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Default="00C013A5" w:rsidP="00AA068F">
      <w:pPr>
        <w:bidi/>
        <w:jc w:val="both"/>
        <w:rPr>
          <w:b/>
          <w:bCs/>
          <w:rtl/>
        </w:rPr>
      </w:pPr>
    </w:p>
    <w:p w:rsidR="00C013A5" w:rsidRPr="003013C8" w:rsidRDefault="00C013A5" w:rsidP="00AA068F">
      <w:pPr>
        <w:bidi/>
        <w:jc w:val="both"/>
        <w:rPr>
          <w:b/>
          <w:bCs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C013A5" w:rsidRPr="006E5DA0" w:rsidTr="00F56E4B">
        <w:tc>
          <w:tcPr>
            <w:tcW w:w="14238" w:type="dxa"/>
            <w:gridSpan w:val="4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معرفة أن ال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تكنولوجيا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مفيد في حياتنا اليومية، والتوضيح من خلال إعطاء أمثلة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حول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المغناطيسات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والكهرباء ووسائل النقل 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مستخدمين نموذجًا (رسمًا)</w:t>
            </w:r>
          </w:p>
        </w:tc>
        <w:tc>
          <w:tcPr>
            <w:tcW w:w="1372" w:type="dxa"/>
            <w:shd w:val="clear" w:color="auto" w:fill="99CCFF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3-2</w:t>
            </w: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C013A5" w:rsidRPr="006E5DA0" w:rsidRDefault="00C013A5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3A5" w:rsidRPr="006E5DA0" w:rsidTr="006E5DA0">
        <w:tc>
          <w:tcPr>
            <w:tcW w:w="3438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طريقتين اثنتين على الأقل كيف أن المغناطيس مفيد،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والكهرباء مفيدة،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ووسائل النقل ،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ويعرض الاستخدام من خلال نموذج ورسم/ مخطط</w:t>
            </w:r>
          </w:p>
        </w:tc>
        <w:tc>
          <w:tcPr>
            <w:tcW w:w="342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توضيح طريقتين اثنتين على الأقل عن كيف أن المغناطيس مفيد،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والكهرباء مفيدة،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ويعرض الاستخدام من خلال نموذج أو رسم</w:t>
            </w:r>
          </w:p>
        </w:tc>
        <w:tc>
          <w:tcPr>
            <w:tcW w:w="378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توضيح طريقة واحدة عن كيف أن المغناطيس مفيد، ويعرض هذا الاستخدام من خلال نموذج أو رسم</w:t>
            </w:r>
          </w:p>
        </w:tc>
        <w:tc>
          <w:tcPr>
            <w:tcW w:w="3600" w:type="dxa"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توضيح كيف أن المغناطيس مفيد، أو عرض الاستخدام من خلال نموذج/رسم/ مخطط</w:t>
            </w:r>
          </w:p>
        </w:tc>
        <w:tc>
          <w:tcPr>
            <w:tcW w:w="1372" w:type="dxa"/>
            <w:vMerge/>
          </w:tcPr>
          <w:p w:rsidR="00C013A5" w:rsidRPr="006E5DA0" w:rsidRDefault="00C013A5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13A5" w:rsidRDefault="00C013A5" w:rsidP="003013C8">
      <w:pPr>
        <w:bidi/>
        <w:jc w:val="both"/>
        <w:rPr>
          <w:b/>
          <w:bCs/>
          <w:rtl/>
        </w:rPr>
      </w:pPr>
    </w:p>
    <w:p w:rsidR="00C013A5" w:rsidRDefault="00C013A5" w:rsidP="003013C8">
      <w:pPr>
        <w:bidi/>
        <w:jc w:val="both"/>
        <w:rPr>
          <w:b/>
          <w:bCs/>
          <w:rtl/>
        </w:rPr>
      </w:pPr>
    </w:p>
    <w:p w:rsidR="00C013A5" w:rsidRDefault="00C013A5" w:rsidP="003013C8">
      <w:pPr>
        <w:bidi/>
        <w:jc w:val="both"/>
        <w:rPr>
          <w:b/>
          <w:bCs/>
          <w:rtl/>
        </w:rPr>
      </w:pPr>
    </w:p>
    <w:p w:rsidR="00C013A5" w:rsidRDefault="00C013A5" w:rsidP="003013C8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C013A5" w:rsidRDefault="00C013A5" w:rsidP="00A20C2A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C013A5" w:rsidRPr="00A20C2A" w:rsidRDefault="00C013A5" w:rsidP="00A20C2A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C013A5" w:rsidRDefault="00C013A5" w:rsidP="003013C8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C013A5" w:rsidRPr="001B057F" w:rsidRDefault="00C013A5" w:rsidP="003013C8">
      <w:pPr>
        <w:bidi/>
        <w:rPr>
          <w:rFonts w:ascii="Times New Roman" w:hAnsi="Times New Roman" w:cs="Times New Roman"/>
          <w:sz w:val="26"/>
          <w:szCs w:val="26"/>
        </w:rPr>
      </w:pPr>
    </w:p>
    <w:sectPr w:rsidR="00C013A5" w:rsidRPr="001B057F" w:rsidSect="00F76D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909" w:orient="landscape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3A5" w:rsidRDefault="00C013A5">
      <w:r>
        <w:separator/>
      </w:r>
    </w:p>
  </w:endnote>
  <w:endnote w:type="continuationSeparator" w:id="0">
    <w:p w:rsidR="00C013A5" w:rsidRDefault="00C01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GA Battouta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19B" w:rsidRDefault="001C01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3A5" w:rsidRDefault="008F0A85">
    <w:pPr>
      <w:pStyle w:val="Footer"/>
    </w:pPr>
    <w:r>
      <w:rPr>
        <w:rStyle w:val="PageNumber"/>
        <w:rFonts w:cs="Arial"/>
      </w:rPr>
      <w:fldChar w:fldCharType="begin"/>
    </w:r>
    <w:r w:rsidR="00C013A5">
      <w:rPr>
        <w:rStyle w:val="PageNumber"/>
        <w:rFonts w:cs="Arial"/>
      </w:rPr>
      <w:instrText xml:space="preserve"> PAGE </w:instrText>
    </w:r>
    <w:r>
      <w:rPr>
        <w:rStyle w:val="PageNumber"/>
        <w:rFonts w:cs="Arial"/>
      </w:rPr>
      <w:fldChar w:fldCharType="separate"/>
    </w:r>
    <w:r w:rsidR="001C019B"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19B" w:rsidRDefault="001C01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3A5" w:rsidRDefault="00C013A5">
      <w:r>
        <w:separator/>
      </w:r>
    </w:p>
  </w:footnote>
  <w:footnote w:type="continuationSeparator" w:id="0">
    <w:p w:rsidR="00C013A5" w:rsidRDefault="00C01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19B" w:rsidRDefault="001C019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3A5" w:rsidRDefault="008F0A85" w:rsidP="001C019B">
    <w:pPr>
      <w:bidi/>
      <w:spacing w:line="240" w:lineRule="auto"/>
      <w:rPr>
        <w:rFonts w:ascii="Sakkal Majalla" w:hAnsi="Sakkal Majalla" w:cs="Sakkal Majalla"/>
        <w:b/>
        <w:bCs/>
        <w:sz w:val="24"/>
        <w:szCs w:val="24"/>
        <w:rtl/>
        <w:lang w:bidi="ar-KW"/>
      </w:rPr>
    </w:pPr>
    <w:r w:rsidRPr="008F0A85"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5" o:spid="_x0000_s2049" type="#_x0000_t75" alt="mwsoo3a-180px_Kuwait_logo_197863824.png" style="position:absolute;left:0;text-align:left;margin-left:738.45pt;margin-top:-20.75pt;width:17.55pt;height:20.75pt;z-index:251660288;visibility:visible">
          <v:imagedata r:id="rId1" o:title=""/>
        </v:shape>
      </w:pict>
    </w:r>
    <w:r w:rsidR="00C013A5" w:rsidRPr="000329E2">
      <w:rPr>
        <w:rFonts w:hint="cs"/>
        <w:rtl/>
      </w:rPr>
      <w:t>وزارة</w:t>
    </w:r>
    <w:r w:rsidR="00C013A5" w:rsidRPr="000329E2">
      <w:rPr>
        <w:rtl/>
      </w:rPr>
      <w:t xml:space="preserve"> </w:t>
    </w:r>
    <w:r w:rsidR="00C013A5" w:rsidRPr="000329E2">
      <w:rPr>
        <w:rFonts w:hint="cs"/>
        <w:rtl/>
      </w:rPr>
      <w:t>التربية</w:t>
    </w:r>
    <w:r w:rsidR="00C013A5" w:rsidRPr="000329E2">
      <w:rPr>
        <w:rtl/>
      </w:rPr>
      <w:t xml:space="preserve"> </w:t>
    </w:r>
    <w:r w:rsidR="00C013A5">
      <w:rPr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C013A5" w:rsidRPr="000329E2">
      <w:rPr>
        <w:rFonts w:hint="cs"/>
        <w:rtl/>
      </w:rPr>
      <w:t>التوجيه</w:t>
    </w:r>
    <w:r w:rsidR="00C013A5" w:rsidRPr="000329E2">
      <w:rPr>
        <w:rtl/>
      </w:rPr>
      <w:t xml:space="preserve"> </w:t>
    </w:r>
    <w:r w:rsidR="00C013A5" w:rsidRPr="000329E2">
      <w:rPr>
        <w:rFonts w:hint="cs"/>
        <w:rtl/>
      </w:rPr>
      <w:t>الفني</w:t>
    </w:r>
    <w:r w:rsidR="00C013A5" w:rsidRPr="000329E2">
      <w:rPr>
        <w:rtl/>
      </w:rPr>
      <w:t xml:space="preserve"> </w:t>
    </w:r>
    <w:r w:rsidR="00C013A5" w:rsidRPr="000329E2">
      <w:rPr>
        <w:rFonts w:hint="cs"/>
        <w:rtl/>
      </w:rPr>
      <w:t>العام</w:t>
    </w:r>
    <w:r w:rsidR="00C013A5" w:rsidRPr="000329E2">
      <w:rPr>
        <w:rtl/>
      </w:rPr>
      <w:t xml:space="preserve"> </w:t>
    </w:r>
    <w:r w:rsidR="00C013A5" w:rsidRPr="000329E2">
      <w:rPr>
        <w:rFonts w:hint="cs"/>
        <w:rtl/>
      </w:rPr>
      <w:t>للعلوم</w:t>
    </w:r>
    <w:r w:rsidR="00C013A5">
      <w:rPr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C013A5" w:rsidRPr="000329E2">
      <w:rPr>
        <w:rFonts w:hint="cs"/>
        <w:rtl/>
      </w:rPr>
      <w:t>اللجنة</w:t>
    </w:r>
    <w:r w:rsidR="00C013A5" w:rsidRPr="000329E2">
      <w:rPr>
        <w:rtl/>
      </w:rPr>
      <w:t xml:space="preserve"> </w:t>
    </w:r>
    <w:r w:rsidR="00C013A5" w:rsidRPr="000329E2">
      <w:rPr>
        <w:rFonts w:hint="cs"/>
        <w:rtl/>
      </w:rPr>
      <w:t>الفنية</w:t>
    </w:r>
    <w:r w:rsidR="00C013A5" w:rsidRPr="000329E2">
      <w:rPr>
        <w:rtl/>
      </w:rPr>
      <w:t xml:space="preserve"> </w:t>
    </w:r>
    <w:r w:rsidR="00C013A5" w:rsidRPr="000329E2">
      <w:rPr>
        <w:rFonts w:hint="cs"/>
        <w:rtl/>
      </w:rPr>
      <w:t>المشتركة</w:t>
    </w:r>
    <w:r w:rsidR="00C013A5" w:rsidRPr="000329E2">
      <w:rPr>
        <w:rtl/>
      </w:rPr>
      <w:t xml:space="preserve"> </w:t>
    </w:r>
    <w:r w:rsidR="00C013A5" w:rsidRPr="000329E2">
      <w:rPr>
        <w:rFonts w:hint="cs"/>
        <w:rtl/>
      </w:rPr>
      <w:t>للمرحلة</w:t>
    </w:r>
    <w:r w:rsidR="00C013A5" w:rsidRPr="000329E2">
      <w:rPr>
        <w:rtl/>
      </w:rPr>
      <w:t xml:space="preserve"> </w:t>
    </w:r>
    <w:r w:rsidR="00C013A5" w:rsidRPr="000329E2">
      <w:rPr>
        <w:rFonts w:hint="cs"/>
        <w:rtl/>
      </w:rPr>
      <w:t>الابتدائية</w:t>
    </w:r>
    <w:r w:rsidR="00C013A5" w:rsidRPr="000329E2">
      <w:rPr>
        <w:rtl/>
      </w:rPr>
      <w:t xml:space="preserve">            </w:t>
    </w:r>
    <w:r w:rsidR="00C013A5">
      <w:rPr>
        <w:rFonts w:cs="AGA Battouta Regular" w:hint="cs"/>
        <w:sz w:val="32"/>
        <w:szCs w:val="32"/>
        <w:rtl/>
      </w:rPr>
      <w:t>المحددات</w:t>
    </w:r>
    <w:r w:rsidR="00C013A5">
      <w:rPr>
        <w:rFonts w:cs="AGA Battouta Regular"/>
        <w:sz w:val="32"/>
        <w:szCs w:val="32"/>
        <w:rtl/>
      </w:rPr>
      <w:t xml:space="preserve"> </w:t>
    </w:r>
    <w:r w:rsidR="00C013A5">
      <w:rPr>
        <w:rFonts w:cs="AGA Battouta Regular" w:hint="cs"/>
        <w:sz w:val="32"/>
        <w:szCs w:val="32"/>
        <w:rtl/>
      </w:rPr>
      <w:t>الوصفية</w:t>
    </w:r>
    <w:r w:rsidR="00C013A5">
      <w:rPr>
        <w:rFonts w:cs="AGA Battouta Regular"/>
        <w:sz w:val="32"/>
        <w:szCs w:val="32"/>
        <w:rtl/>
      </w:rPr>
      <w:t xml:space="preserve"> </w:t>
    </w:r>
    <w:r w:rsidR="00C013A5">
      <w:rPr>
        <w:rFonts w:cs="AGA Battouta Regular" w:hint="cs"/>
        <w:sz w:val="32"/>
        <w:szCs w:val="32"/>
        <w:rtl/>
      </w:rPr>
      <w:t>للصف</w:t>
    </w:r>
    <w:r w:rsidR="00C013A5">
      <w:rPr>
        <w:rFonts w:cs="AGA Battouta Regular"/>
        <w:sz w:val="32"/>
        <w:szCs w:val="32"/>
        <w:rtl/>
      </w:rPr>
      <w:t xml:space="preserve"> </w:t>
    </w:r>
    <w:r w:rsidR="00C013A5">
      <w:rPr>
        <w:rFonts w:cs="AGA Battouta Regular" w:hint="cs"/>
        <w:sz w:val="32"/>
        <w:szCs w:val="32"/>
        <w:rtl/>
      </w:rPr>
      <w:t>الثاني</w:t>
    </w:r>
    <w:r w:rsidR="00C013A5">
      <w:rPr>
        <w:rFonts w:cs="AGA Battouta Regular"/>
        <w:sz w:val="32"/>
        <w:szCs w:val="32"/>
        <w:rtl/>
      </w:rPr>
      <w:t xml:space="preserve"> </w:t>
    </w:r>
    <w:r w:rsidR="00C013A5">
      <w:rPr>
        <w:rFonts w:cs="AGA Battouta Regular" w:hint="cs"/>
        <w:sz w:val="32"/>
        <w:szCs w:val="32"/>
        <w:rtl/>
      </w:rPr>
      <w:t>الابتدائي</w:t>
    </w:r>
    <w:r w:rsidR="00C013A5">
      <w:rPr>
        <w:rFonts w:cs="AGA Battouta Regular"/>
        <w:sz w:val="32"/>
        <w:szCs w:val="32"/>
        <w:rtl/>
      </w:rPr>
      <w:t xml:space="preserve"> (</w:t>
    </w:r>
    <w:r w:rsidR="00C013A5">
      <w:rPr>
        <w:rFonts w:cs="AGA Battouta Regular" w:hint="cs"/>
        <w:sz w:val="32"/>
        <w:szCs w:val="32"/>
        <w:rtl/>
      </w:rPr>
      <w:t>الفصل</w:t>
    </w:r>
    <w:r w:rsidR="00C013A5">
      <w:rPr>
        <w:rFonts w:cs="AGA Battouta Regular"/>
        <w:sz w:val="32"/>
        <w:szCs w:val="32"/>
        <w:rtl/>
      </w:rPr>
      <w:t xml:space="preserve"> </w:t>
    </w:r>
    <w:r w:rsidR="00C013A5">
      <w:rPr>
        <w:rFonts w:cs="AGA Battouta Regular" w:hint="cs"/>
        <w:sz w:val="32"/>
        <w:szCs w:val="32"/>
        <w:rtl/>
      </w:rPr>
      <w:t>الدراسي</w:t>
    </w:r>
    <w:r w:rsidR="00C013A5">
      <w:rPr>
        <w:rFonts w:cs="AGA Battouta Regular"/>
        <w:sz w:val="32"/>
        <w:szCs w:val="32"/>
        <w:rtl/>
      </w:rPr>
      <w:t xml:space="preserve"> </w:t>
    </w:r>
    <w:r w:rsidR="00C013A5">
      <w:rPr>
        <w:rFonts w:cs="AGA Battouta Regular" w:hint="cs"/>
        <w:sz w:val="32"/>
        <w:szCs w:val="32"/>
        <w:rtl/>
      </w:rPr>
      <w:t>الثاني</w:t>
    </w:r>
    <w:r w:rsidR="00C013A5">
      <w:rPr>
        <w:rFonts w:cs="AGA Battouta Regular"/>
        <w:sz w:val="32"/>
        <w:szCs w:val="32"/>
        <w:rtl/>
      </w:rPr>
      <w:t xml:space="preserve">)                  </w:t>
    </w:r>
    <w:r w:rsidR="001C019B">
      <w:rPr>
        <w:rFonts w:hint="cs"/>
        <w:sz w:val="32"/>
        <w:szCs w:val="32"/>
        <w:rtl/>
      </w:rPr>
      <w:t>ا</w:t>
    </w:r>
    <w:r w:rsidR="001C019B" w:rsidRPr="00E579EA">
      <w:rPr>
        <w:rFonts w:hint="cs"/>
        <w:sz w:val="32"/>
        <w:szCs w:val="32"/>
        <w:rtl/>
      </w:rPr>
      <w:t>لعام</w:t>
    </w:r>
    <w:r w:rsidR="001C019B" w:rsidRPr="00E579EA">
      <w:rPr>
        <w:sz w:val="32"/>
        <w:szCs w:val="32"/>
        <w:rtl/>
      </w:rPr>
      <w:t xml:space="preserve"> </w:t>
    </w:r>
    <w:r w:rsidR="001C019B" w:rsidRPr="00E579EA">
      <w:rPr>
        <w:rFonts w:hint="cs"/>
        <w:sz w:val="32"/>
        <w:szCs w:val="32"/>
        <w:rtl/>
      </w:rPr>
      <w:t>الدراسي</w:t>
    </w:r>
    <w:r w:rsidR="001C019B" w:rsidRPr="00E579EA">
      <w:rPr>
        <w:sz w:val="32"/>
        <w:szCs w:val="32"/>
        <w:rtl/>
      </w:rPr>
      <w:t xml:space="preserve">  </w:t>
    </w:r>
    <w:r w:rsidR="001C019B">
      <w:rPr>
        <w:sz w:val="32"/>
        <w:szCs w:val="32"/>
        <w:rtl/>
      </w:rPr>
      <w:t>201</w:t>
    </w:r>
    <w:r w:rsidR="001C019B">
      <w:rPr>
        <w:rFonts w:hint="cs"/>
        <w:sz w:val="32"/>
        <w:szCs w:val="32"/>
        <w:rtl/>
        <w:lang w:bidi="ar-KW"/>
      </w:rPr>
      <w:t>9</w:t>
    </w:r>
    <w:r w:rsidR="001C019B">
      <w:rPr>
        <w:sz w:val="32"/>
        <w:szCs w:val="32"/>
        <w:rtl/>
      </w:rPr>
      <w:t xml:space="preserve"> - </w:t>
    </w:r>
    <w:r w:rsidR="001C019B">
      <w:rPr>
        <w:sz w:val="32"/>
        <w:szCs w:val="32"/>
        <w:rtl/>
      </w:rPr>
      <w:t>20</w:t>
    </w:r>
    <w:r w:rsidR="001C019B">
      <w:rPr>
        <w:rFonts w:hint="cs"/>
        <w:sz w:val="32"/>
        <w:szCs w:val="32"/>
        <w:rtl/>
      </w:rPr>
      <w:t>20م</w:t>
    </w:r>
  </w:p>
  <w:p w:rsidR="00C013A5" w:rsidRPr="00A20C2A" w:rsidRDefault="00C013A5" w:rsidP="00A20C2A">
    <w:pPr>
      <w:bidi/>
      <w:spacing w:line="240" w:lineRule="auto"/>
      <w:rPr>
        <w:rFonts w:ascii="Sakkal Majalla" w:hAnsi="Sakkal Majalla" w:cs="Sakkal Majalla"/>
        <w:b/>
        <w:bCs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19B" w:rsidRDefault="001C01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6DAB"/>
    <w:rsid w:val="000329E2"/>
    <w:rsid w:val="00043C96"/>
    <w:rsid w:val="0009728B"/>
    <w:rsid w:val="000A2AC4"/>
    <w:rsid w:val="000E43D2"/>
    <w:rsid w:val="001109EF"/>
    <w:rsid w:val="0011103E"/>
    <w:rsid w:val="00145074"/>
    <w:rsid w:val="00154E3D"/>
    <w:rsid w:val="001B057F"/>
    <w:rsid w:val="001B0900"/>
    <w:rsid w:val="001C019B"/>
    <w:rsid w:val="001E7D7F"/>
    <w:rsid w:val="00207FB4"/>
    <w:rsid w:val="00284096"/>
    <w:rsid w:val="002C455F"/>
    <w:rsid w:val="002D6F99"/>
    <w:rsid w:val="003013C8"/>
    <w:rsid w:val="00312895"/>
    <w:rsid w:val="003859A4"/>
    <w:rsid w:val="003A17BF"/>
    <w:rsid w:val="003F3895"/>
    <w:rsid w:val="00450834"/>
    <w:rsid w:val="00471F63"/>
    <w:rsid w:val="004A19E5"/>
    <w:rsid w:val="004A27B0"/>
    <w:rsid w:val="004C7480"/>
    <w:rsid w:val="004D41C4"/>
    <w:rsid w:val="005543A8"/>
    <w:rsid w:val="005859D9"/>
    <w:rsid w:val="00586DD3"/>
    <w:rsid w:val="005925C2"/>
    <w:rsid w:val="005A47E2"/>
    <w:rsid w:val="005A6966"/>
    <w:rsid w:val="005C298C"/>
    <w:rsid w:val="00654DD7"/>
    <w:rsid w:val="00657C50"/>
    <w:rsid w:val="0066169C"/>
    <w:rsid w:val="00695B34"/>
    <w:rsid w:val="006B30B0"/>
    <w:rsid w:val="006E5DA0"/>
    <w:rsid w:val="007050FE"/>
    <w:rsid w:val="00736D9C"/>
    <w:rsid w:val="00763884"/>
    <w:rsid w:val="00796AEB"/>
    <w:rsid w:val="007B1766"/>
    <w:rsid w:val="007C2744"/>
    <w:rsid w:val="007E0D08"/>
    <w:rsid w:val="007F1CE6"/>
    <w:rsid w:val="008063D0"/>
    <w:rsid w:val="008368E7"/>
    <w:rsid w:val="00840FD6"/>
    <w:rsid w:val="008474BC"/>
    <w:rsid w:val="008633B2"/>
    <w:rsid w:val="00882E52"/>
    <w:rsid w:val="008C23A1"/>
    <w:rsid w:val="008D552E"/>
    <w:rsid w:val="008F0A85"/>
    <w:rsid w:val="009751AE"/>
    <w:rsid w:val="00986B68"/>
    <w:rsid w:val="009A015A"/>
    <w:rsid w:val="009A181E"/>
    <w:rsid w:val="009F33CB"/>
    <w:rsid w:val="00A20C2A"/>
    <w:rsid w:val="00A24779"/>
    <w:rsid w:val="00A36B4D"/>
    <w:rsid w:val="00A51032"/>
    <w:rsid w:val="00A5643F"/>
    <w:rsid w:val="00A85DF8"/>
    <w:rsid w:val="00A91841"/>
    <w:rsid w:val="00AA068F"/>
    <w:rsid w:val="00AE022D"/>
    <w:rsid w:val="00AE60B4"/>
    <w:rsid w:val="00AF0F02"/>
    <w:rsid w:val="00B65A03"/>
    <w:rsid w:val="00B8401A"/>
    <w:rsid w:val="00B94F15"/>
    <w:rsid w:val="00BE21BB"/>
    <w:rsid w:val="00C013A5"/>
    <w:rsid w:val="00C043F4"/>
    <w:rsid w:val="00C175C7"/>
    <w:rsid w:val="00C653A1"/>
    <w:rsid w:val="00C65450"/>
    <w:rsid w:val="00CA360B"/>
    <w:rsid w:val="00CD1073"/>
    <w:rsid w:val="00CE7183"/>
    <w:rsid w:val="00D05809"/>
    <w:rsid w:val="00D329F7"/>
    <w:rsid w:val="00D5054E"/>
    <w:rsid w:val="00DA79C3"/>
    <w:rsid w:val="00DB62AD"/>
    <w:rsid w:val="00DD08F7"/>
    <w:rsid w:val="00DE558E"/>
    <w:rsid w:val="00E579EA"/>
    <w:rsid w:val="00E8457D"/>
    <w:rsid w:val="00EE374C"/>
    <w:rsid w:val="00EF2217"/>
    <w:rsid w:val="00EF6615"/>
    <w:rsid w:val="00F0779A"/>
    <w:rsid w:val="00F237F2"/>
    <w:rsid w:val="00F56E4B"/>
    <w:rsid w:val="00F76DAB"/>
    <w:rsid w:val="00F9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DA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6D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474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748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74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7480"/>
    <w:rPr>
      <w:rFonts w:cs="Times New Roman"/>
    </w:rPr>
  </w:style>
  <w:style w:type="character" w:styleId="PageNumber">
    <w:name w:val="page number"/>
    <w:basedOn w:val="DefaultParagraphFont"/>
    <w:uiPriority w:val="99"/>
    <w:rsid w:val="003F38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963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محددات وصفية لمادة العلوم - الصف الثاني (الفصل الثاني)    </dc:title>
  <dc:subject/>
  <dc:creator>Kifah</dc:creator>
  <cp:keywords/>
  <dc:description/>
  <cp:lastModifiedBy>t265071500794</cp:lastModifiedBy>
  <cp:revision>10</cp:revision>
  <dcterms:created xsi:type="dcterms:W3CDTF">2017-03-26T03:03:00Z</dcterms:created>
  <dcterms:modified xsi:type="dcterms:W3CDTF">2019-08-29T09:56:00Z</dcterms:modified>
</cp:coreProperties>
</file>